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C05D20" w:rsidRDefault="002C0225" w:rsidP="000D48C5">
      <w:pPr>
        <w:jc w:val="center"/>
        <w:rPr>
          <w:b/>
          <w:i/>
          <w:sz w:val="72"/>
          <w:szCs w:val="72"/>
        </w:rPr>
      </w:pPr>
      <w:r w:rsidRPr="002C0225">
        <w:rPr>
          <w:b/>
          <w:sz w:val="72"/>
          <w:szCs w:val="72"/>
        </w:rPr>
        <w:drawing>
          <wp:inline distT="0" distB="0" distL="0" distR="0">
            <wp:extent cx="1426978" cy="1028700"/>
            <wp:effectExtent l="19050" t="0" r="177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8C5" w:rsidRPr="00C05D20">
        <w:rPr>
          <w:b/>
          <w:i/>
          <w:sz w:val="72"/>
          <w:szCs w:val="72"/>
        </w:rPr>
        <w:t>CROCIERA SUL NILO</w:t>
      </w:r>
    </w:p>
    <w:p w:rsidR="001C6A96" w:rsidRDefault="00322797" w:rsidP="00C05D20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061306" cy="165735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06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225">
        <w:rPr>
          <w:noProof/>
          <w:lang w:eastAsia="it-IT"/>
        </w:rPr>
        <w:t xml:space="preserve">    </w:t>
      </w:r>
      <w:r w:rsidR="000D48C5">
        <w:rPr>
          <w:noProof/>
          <w:lang w:eastAsia="it-IT"/>
        </w:rPr>
        <w:drawing>
          <wp:inline distT="0" distB="0" distL="0" distR="0">
            <wp:extent cx="2933700" cy="1650674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17" cy="16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C5" w:rsidRPr="000D48C5" w:rsidRDefault="000D48C5" w:rsidP="00C05D20">
      <w:pPr>
        <w:spacing w:after="0"/>
        <w:jc w:val="center"/>
        <w:rPr>
          <w:b/>
          <w:sz w:val="32"/>
          <w:szCs w:val="32"/>
        </w:rPr>
      </w:pPr>
      <w:r w:rsidRPr="000D48C5">
        <w:rPr>
          <w:b/>
          <w:sz w:val="32"/>
          <w:szCs w:val="32"/>
        </w:rPr>
        <w:t>DAL 2 AL 9 OTTOBRE 2023</w:t>
      </w:r>
    </w:p>
    <w:p w:rsidR="001C6A96" w:rsidRPr="000D48C5" w:rsidRDefault="004D4BCB" w:rsidP="00C05D20">
      <w:pPr>
        <w:spacing w:after="0"/>
        <w:jc w:val="center"/>
        <w:rPr>
          <w:rFonts w:cstheme="minorHAnsi"/>
          <w:b/>
          <w:sz w:val="24"/>
          <w:szCs w:val="24"/>
        </w:rPr>
      </w:pPr>
      <w:r w:rsidRPr="000D48C5">
        <w:rPr>
          <w:rFonts w:cstheme="minorHAnsi"/>
          <w:b/>
          <w:sz w:val="24"/>
          <w:szCs w:val="24"/>
          <w:shd w:val="clear" w:color="auto" w:fill="FFFFFF"/>
        </w:rPr>
        <w:t>Un itinerario di 7 notti alla scoperta delle meraviglie che rendono unico questo Paese.</w:t>
      </w:r>
      <w:r w:rsidR="002C0225">
        <w:rPr>
          <w:rFonts w:cstheme="minorHAnsi"/>
          <w:b/>
          <w:sz w:val="24"/>
          <w:szCs w:val="24"/>
          <w:shd w:val="clear" w:color="auto" w:fill="FFFFFF"/>
        </w:rPr>
        <w:t xml:space="preserve"> Un’esperienza indimenticabile lungo 5000 anni di storia. </w:t>
      </w:r>
      <w:r w:rsidRPr="000D48C5">
        <w:rPr>
          <w:rFonts w:cstheme="minorHAnsi"/>
          <w:b/>
          <w:sz w:val="24"/>
          <w:szCs w:val="24"/>
          <w:shd w:val="clear" w:color="auto" w:fill="FFFFFF"/>
        </w:rPr>
        <w:t xml:space="preserve"> Il viaggio inizia con una crociera di 4 notti da Luxor verso </w:t>
      </w:r>
      <w:proofErr w:type="spellStart"/>
      <w:r w:rsidRPr="000D48C5">
        <w:rPr>
          <w:rFonts w:cstheme="minorHAnsi"/>
          <w:b/>
          <w:sz w:val="24"/>
          <w:szCs w:val="24"/>
          <w:shd w:val="clear" w:color="auto" w:fill="FFFFFF"/>
        </w:rPr>
        <w:t>Aswan</w:t>
      </w:r>
      <w:proofErr w:type="spellEnd"/>
      <w:r w:rsidRPr="000D48C5">
        <w:rPr>
          <w:rFonts w:cstheme="minorHAnsi"/>
          <w:b/>
          <w:sz w:val="24"/>
          <w:szCs w:val="24"/>
          <w:shd w:val="clear" w:color="auto" w:fill="FFFFFF"/>
        </w:rPr>
        <w:t>, per ammirare le testimonianze dell'antico Egitto situate lungo questo tratto di Nilo e per poi terminare al Cairo</w:t>
      </w:r>
    </w:p>
    <w:p w:rsidR="004D4BCB" w:rsidRPr="004D4BCB" w:rsidRDefault="004D4BCB" w:rsidP="00C05D20">
      <w:pPr>
        <w:shd w:val="clear" w:color="auto" w:fill="FFFFFF"/>
        <w:spacing w:before="150" w:after="0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1° giorno - Luxor</w:t>
      </w:r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Arrivo a Luxor e trasferimento a bordo. Nel caso in cui l'arrivo a Luxor sia in tarda mattinata, il pranzo all'arrivo (non incluso) si potrà regolare in loco; nel pomeriggio la guida sarà a disposizione per organizzare eventuali visite facoltative. Cena e pernottamento a bordo.,Trattamento: cena.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2° giorno - Luxor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Edfu</w:t>
      </w:r>
      <w:proofErr w:type="spellEnd"/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Al mattino visita della sponda ovest del Nilo, il cimitero reale dell’antica Tebe dove furono sepolti i Faraoni del Nuovo Regno; qui si possono ammirare dall’interno le tombe reali che contengono le meraviglie dell’arte egizia. A seguire visita del tempio funerario della Regina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Hatchepsut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, meglio conosciuto come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Deir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El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Bahari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, e sosta ai Colossi di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Memnon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, due statue colossali che rappresentano il Faraone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Amenofi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III. Rientro sulla sponda est del Nilo per la visita al complesso templare di Karnak, dedicato al Dio Sole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Amon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Ra, dove viene evidenziata l’imponenza dell’architettura dell’antico Egitto e si prosegue con la visita al Tempio di Luxor, dedicato alla dea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Nut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 risalente alla XVIII dinastia. Rientro a bordo per il pranzo e inizio della navigazione verso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Edfu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. Cena e pernottamento a bordo.,Trattamento: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3° giorno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Edfu</w:t>
      </w:r>
      <w:proofErr w:type="spellEnd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Kom</w:t>
      </w:r>
      <w:proofErr w:type="spellEnd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Ombo</w:t>
      </w:r>
      <w:proofErr w:type="spellEnd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Aswan</w:t>
      </w:r>
      <w:proofErr w:type="spellEnd"/>
    </w:p>
    <w:p w:rsid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Visita del Tempio di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Edfu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dedicato al Dio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Horus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(Falco) il dio della protezione ed il signore del cielo, si tratta del tempio più completo in assoluto conservatosi fino ai nostri giorni. Rientro a bordo per il pranzo e proseguimento della navigazione verso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Kom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Ombo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Arrivo a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Kom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Ombo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 visita al tramonto dell’omonimo tempio dedicato a due divinità, il dio coccodrillo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Sobek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 il dio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Haroeris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Rientro a bordo e proseguimento in navigazione verso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Aswan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4° giorno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Aswan</w:t>
      </w:r>
      <w:proofErr w:type="spellEnd"/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Prima colazione a bordo e mattina a disposizione; possibilità di effettuare l’escursione facoltativa ad Abu Simbel in pullman, per effettuare la visita dei famosi templi, capolavori salvati dalle acque </w:t>
      </w: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t xml:space="preserve">del Lago Nasser e fatti erigere dal Faraone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Ramses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II. Pranzo a bordo della motonave e a seguire escursione in feluca sul Nilo. Cena e pernottamento a bordo.,Trattamento: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5° giorno - </w:t>
      </w:r>
      <w:proofErr w:type="spellStart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Aswan</w:t>
      </w:r>
      <w:proofErr w:type="spellEnd"/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- Il Cairo</w:t>
      </w:r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Al mattino visita del Tempio di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Philae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, di epoca romana e anch’esso riposizionato dopo la costruzione della Grande Diga. Rientro per il pranzo e trasferimento in aeroporto. Partenza per Il Cairo e all’arrivo trasferimento in hotel. Cena e pernottamento.,Trattamento: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6° giorno - Il Cairo</w:t>
      </w:r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Al mattino visita del Museo Egizio del Cairo che racchiude innumerevoli capolavori. Dopo il pranzo si prosegue con la visita alla Cittadella di Saladino con la Moschea di alabastro. Cena e pernottamento in hotel.,Trattamento: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7° giorno - Il Cairo</w:t>
      </w:r>
    </w:p>
    <w:p w:rsidR="004D4BCB" w:rsidRP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Giornata dedicata alla visita della piana di Giza, sito archeologico dove si trovano le famose tre piramidi dei Faraoni Cheope, Chefren e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Micerino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 l’enigmatica Sfinge. Pranzo in ristorante locale e proseguimento per Memphis, prima capitale dell’Egitto Faraonico e poi fino a </w:t>
      </w:r>
      <w:proofErr w:type="spellStart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Sakkara</w:t>
      </w:r>
      <w:proofErr w:type="spellEnd"/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con la piramide a Gradoni. Rientro in hotel, cena e pernottamento.,Trattamento: pensione completa.</w:t>
      </w:r>
    </w:p>
    <w:p w:rsidR="004D4BCB" w:rsidRPr="004D4BCB" w:rsidRDefault="004D4BCB" w:rsidP="004D4BCB">
      <w:pPr>
        <w:shd w:val="clear" w:color="auto" w:fill="FFFFFF"/>
        <w:spacing w:before="150" w:after="4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8° giorno - Il Cairo - Ita</w:t>
      </w:r>
      <w:r w:rsidR="009F6682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l</w:t>
      </w:r>
      <w:r w:rsidRPr="004D4BCB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ia</w:t>
      </w:r>
    </w:p>
    <w:p w:rsidR="004D4BCB" w:rsidRDefault="004D4BCB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4D4BCB">
        <w:rPr>
          <w:rFonts w:eastAsia="Times New Roman" w:cstheme="minorHAnsi"/>
          <w:color w:val="333333"/>
          <w:sz w:val="24"/>
          <w:szCs w:val="24"/>
          <w:lang w:eastAsia="it-IT"/>
        </w:rPr>
        <w:t>Prima colazione e trasferimento in aeroporto per il rientro in Italia.,Trattamento: prima colazione.</w:t>
      </w:r>
    </w:p>
    <w:p w:rsidR="00BF52CC" w:rsidRDefault="00BF52CC" w:rsidP="004D4BCB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BF52CC" w:rsidRPr="00C05D20" w:rsidRDefault="00BF52CC" w:rsidP="00CA4FC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QUOTA INDIVIDUALE </w:t>
      </w:r>
      <w:proofErr w:type="spellStart"/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>DI</w:t>
      </w:r>
      <w:proofErr w:type="spellEnd"/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 xml:space="preserve"> PARTECIPAZIONE:</w:t>
      </w:r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ab/>
      </w:r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ab/>
      </w:r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ab/>
      </w:r>
      <w:r w:rsidR="00B24D63"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>EURO 2.15</w:t>
      </w:r>
      <w:r w:rsidRPr="00C05D20">
        <w:rPr>
          <w:rFonts w:eastAsia="Times New Roman" w:cstheme="minorHAnsi"/>
          <w:b/>
          <w:color w:val="333333"/>
          <w:sz w:val="28"/>
          <w:szCs w:val="28"/>
          <w:lang w:eastAsia="it-IT"/>
        </w:rPr>
        <w:t>0,00</w:t>
      </w:r>
    </w:p>
    <w:p w:rsidR="000D2474" w:rsidRDefault="000D2474" w:rsidP="000D2474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         Supplemento camera singola: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  <w:t>EURO      450,00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u w:val="single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u w:val="single"/>
          <w:lang w:eastAsia="it-IT"/>
        </w:rPr>
        <w:t>La quota di partecipazione comprende: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u w:val="single"/>
          <w:lang w:eastAsia="it-IT"/>
        </w:rPr>
      </w:pP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Trasporto aereo con voli speciali NEOS da Malpensa a Luxor e da Cairo a Malpensa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* Volo interno da </w:t>
      </w:r>
      <w:proofErr w:type="spellStart"/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Aswan</w:t>
      </w:r>
      <w:proofErr w:type="spellEnd"/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 a Cairo con compagnia locale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Franchigia bagaglio da stiva kg 15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Navigazione Nilo c</w:t>
      </w:r>
      <w:r w:rsid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on M/N LEGACY o similare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proofErr w:type="spellStart"/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*Sistemazioni</w:t>
      </w:r>
      <w:proofErr w:type="spellEnd"/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 in camera a uno o due letti con servizi privati e  trattamento indicato in 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  programma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Visite indicate in programma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Assistenza in loco di personale specializzato “Turisanda”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Assicurazione Annullamento per motivi certificabili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* Assicurazione Medico e Bagaglio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b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* </w:t>
      </w:r>
      <w:r w:rsidRPr="00322797">
        <w:rPr>
          <w:rFonts w:ascii="Arial" w:eastAsia="Times New Roman" w:hAnsi="Arial" w:cs="Arial"/>
          <w:b/>
          <w:color w:val="FDFCF8"/>
          <w:sz w:val="24"/>
          <w:szCs w:val="24"/>
          <w:lang w:eastAsia="it-IT"/>
        </w:rPr>
        <w:t>VISTO D’INGRESSO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b/>
          <w:color w:val="FDFCF8"/>
          <w:sz w:val="24"/>
          <w:szCs w:val="24"/>
          <w:lang w:eastAsia="it-IT"/>
        </w:rPr>
        <w:t xml:space="preserve">* </w:t>
      </w:r>
      <w:r w:rsidRPr="00322797">
        <w:rPr>
          <w:rFonts w:ascii="Arial" w:eastAsia="Times New Roman" w:hAnsi="Arial" w:cs="Arial"/>
          <w:color w:val="FDFCF8"/>
          <w:sz w:val="24"/>
          <w:szCs w:val="24"/>
          <w:lang w:eastAsia="it-IT"/>
        </w:rPr>
        <w:t>Tasse aeroportuali</w:t>
      </w: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</w:pPr>
    </w:p>
    <w:p w:rsidR="004D4BCB" w:rsidRPr="00322797" w:rsidRDefault="004D4BCB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b/>
          <w:noProof/>
          <w:color w:val="FDFCF8"/>
          <w:sz w:val="24"/>
          <w:szCs w:val="24"/>
          <w:lang w:eastAsia="it-IT"/>
        </w:rPr>
      </w:pPr>
      <w:r w:rsidRPr="00322797">
        <w:rPr>
          <w:rFonts w:ascii="Arial" w:eastAsia="Times New Roman" w:hAnsi="Arial" w:cs="Arial"/>
          <w:b/>
          <w:noProof/>
          <w:color w:val="FDFCF8"/>
          <w:sz w:val="24"/>
          <w:szCs w:val="24"/>
          <w:lang w:eastAsia="it-IT"/>
        </w:rPr>
        <w:t>ESCLUSO:</w:t>
      </w:r>
    </w:p>
    <w:p w:rsidR="004D4BCB" w:rsidRPr="00322797" w:rsidRDefault="00B24D63" w:rsidP="004D4BCB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>A</w:t>
      </w:r>
      <w:r w:rsidR="004D4BCB" w:rsidRPr="00322797"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deguamento </w:t>
      </w:r>
      <w:r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 carburante </w:t>
      </w:r>
      <w:r w:rsidR="00BF52CC"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– Escursione Abu Simbel euro 105,00 - </w:t>
      </w:r>
      <w:r w:rsidR="004D4BCB" w:rsidRPr="00322797"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 </w:t>
      </w:r>
      <w:r w:rsidR="00322797"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mance </w:t>
      </w:r>
      <w:r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 euro 35</w:t>
      </w:r>
      <w:r w:rsidR="00322797">
        <w:rPr>
          <w:rFonts w:ascii="Arial" w:eastAsia="Times New Roman" w:hAnsi="Arial" w:cs="Arial"/>
          <w:noProof/>
          <w:color w:val="FDFCF8"/>
          <w:sz w:val="24"/>
          <w:szCs w:val="24"/>
          <w:lang w:eastAsia="it-IT"/>
        </w:rPr>
        <w:t xml:space="preserve">  ca.</w:t>
      </w:r>
    </w:p>
    <w:p w:rsidR="00322797" w:rsidRDefault="00322797" w:rsidP="00322797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LA PRESENTE S’INTENDE VALIDA PER PRENOTAZIONI EFFETTUATE ENTRO IL 12 MARZO CON  ACCONTO </w:t>
      </w:r>
      <w:proofErr w:type="spellStart"/>
      <w:r>
        <w:rPr>
          <w:rFonts w:ascii="Arial" w:eastAsia="Times New Roman" w:hAnsi="Arial" w:cs="Arial"/>
          <w:color w:val="FDFCF8"/>
          <w:sz w:val="24"/>
          <w:szCs w:val="24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 EURO 250,00  – SECONDO ACCONTO </w:t>
      </w:r>
      <w:proofErr w:type="spellStart"/>
      <w:r>
        <w:rPr>
          <w:rFonts w:ascii="Arial" w:eastAsia="Times New Roman" w:hAnsi="Arial" w:cs="Arial"/>
          <w:color w:val="FDFCF8"/>
          <w:sz w:val="24"/>
          <w:szCs w:val="24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FDFCF8"/>
          <w:sz w:val="24"/>
          <w:szCs w:val="24"/>
          <w:lang w:eastAsia="it-IT"/>
        </w:rPr>
        <w:t xml:space="preserve"> EURO 250,00ENTRO IL 15 GIUGNO –  SALDO ENTRO 31  AGOSTO </w:t>
      </w:r>
    </w:p>
    <w:p w:rsidR="00322797" w:rsidRDefault="00322797" w:rsidP="00322797">
      <w:pPr>
        <w:shd w:val="clear" w:color="auto" w:fill="232323"/>
        <w:spacing w:after="0" w:line="240" w:lineRule="auto"/>
        <w:textAlignment w:val="baseline"/>
        <w:rPr>
          <w:rFonts w:ascii="Arial" w:eastAsia="Times New Roman" w:hAnsi="Arial" w:cs="Arial"/>
          <w:color w:val="FDFCF8"/>
          <w:sz w:val="24"/>
          <w:szCs w:val="24"/>
          <w:lang w:eastAsia="it-IT"/>
        </w:rPr>
      </w:pPr>
    </w:p>
    <w:p w:rsidR="002C0225" w:rsidRDefault="002C0225" w:rsidP="002C0225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2C0225" w:rsidRPr="007A0F3B" w:rsidRDefault="002C0225" w:rsidP="002C0225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p w:rsidR="00D43851" w:rsidRDefault="00D43851"/>
    <w:sectPr w:rsidR="00D43851" w:rsidSect="00E1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6A96"/>
    <w:rsid w:val="000D2474"/>
    <w:rsid w:val="000D48C5"/>
    <w:rsid w:val="001C6A96"/>
    <w:rsid w:val="00252A56"/>
    <w:rsid w:val="002C0225"/>
    <w:rsid w:val="00322797"/>
    <w:rsid w:val="004D4BCB"/>
    <w:rsid w:val="00673FAB"/>
    <w:rsid w:val="006D4467"/>
    <w:rsid w:val="007D1E8E"/>
    <w:rsid w:val="009F6682"/>
    <w:rsid w:val="00B24D63"/>
    <w:rsid w:val="00BF52CC"/>
    <w:rsid w:val="00C05D20"/>
    <w:rsid w:val="00CA4FCF"/>
    <w:rsid w:val="00D43851"/>
    <w:rsid w:val="00E12BC8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BC8"/>
  </w:style>
  <w:style w:type="paragraph" w:styleId="Titolo4">
    <w:name w:val="heading 4"/>
    <w:basedOn w:val="Normale"/>
    <w:link w:val="Titolo4Carattere"/>
    <w:uiPriority w:val="9"/>
    <w:qFormat/>
    <w:rsid w:val="004D4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A9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4BC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g-binding">
    <w:name w:val="ng-binding"/>
    <w:basedOn w:val="Normale"/>
    <w:rsid w:val="004D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4BCB"/>
    <w:rPr>
      <w:b/>
      <w:bCs/>
    </w:rPr>
  </w:style>
  <w:style w:type="paragraph" w:customStyle="1" w:styleId="normal">
    <w:name w:val="normal"/>
    <w:rsid w:val="002C0225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27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72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70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81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11</cp:revision>
  <dcterms:created xsi:type="dcterms:W3CDTF">2023-03-28T13:05:00Z</dcterms:created>
  <dcterms:modified xsi:type="dcterms:W3CDTF">2023-03-28T14:16:00Z</dcterms:modified>
</cp:coreProperties>
</file>